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4080" w:leader="none"/>
        </w:tabs>
        <w:rPr>
          <w:sz w:val="20"/>
          <w:szCs w:val="20"/>
        </w:rPr>
      </w:pPr>
      <w:r>
        <w:rPr/>
        <w:t xml:space="preserve">POLITICA RJC </w:t>
        <w:tab/>
        <w:tab/>
        <w:tab/>
        <w:tab/>
        <w:tab/>
        <w:tab/>
        <w:tab/>
        <w:tab/>
      </w:r>
      <w:r>
        <w:rPr>
          <w:sz w:val="20"/>
          <w:szCs w:val="20"/>
        </w:rPr>
        <w:t>rev.01</w:t>
      </w:r>
    </w:p>
    <w:p>
      <w:pPr>
        <w:pStyle w:val="Normal"/>
        <w:jc w:val="both"/>
        <w:rPr/>
      </w:pPr>
      <w:r>
        <w:rPr>
          <w:i/>
          <w:iCs/>
          <w:sz w:val="32"/>
          <w:szCs w:val="32"/>
        </w:rPr>
        <w:t>Nuovi Gioielli srl</w:t>
      </w:r>
      <w:r>
        <w:rPr/>
        <w:t xml:space="preserve">  è un’azienda di medie dimensioni impegnata nella lavorazione di metalli preziosi per il proprio marchio e alcuni noti marchi di gioielli. </w:t>
      </w:r>
    </w:p>
    <w:p>
      <w:pPr>
        <w:pStyle w:val="Normal"/>
        <w:jc w:val="both"/>
        <w:rPr/>
      </w:pPr>
      <w:r>
        <w:rPr/>
        <w:t xml:space="preserve">L’azienda si trova a Mussolente (VI)  in via Alessandro Volta 1     e impiega  al suo interno una quarantina di persone , impegnate in  lavorazioni orafe , dalla fusione della materia prima   fino alla realizzazione del prodotto finito. </w:t>
      </w:r>
    </w:p>
    <w:p>
      <w:pPr>
        <w:pStyle w:val="Normal"/>
        <w:jc w:val="both"/>
        <w:rPr/>
      </w:pPr>
      <w:r>
        <w:rPr/>
        <w:t>Nuovi Gioielli srl   è membro del Responsible Jewellery Council (RJC).</w:t>
      </w:r>
    </w:p>
    <w:p>
      <w:pPr>
        <w:pStyle w:val="Normal"/>
        <w:jc w:val="both"/>
        <w:rPr/>
      </w:pPr>
      <w:r>
        <w:rPr/>
        <w:t>L'RJC è un'organizzazione che stabilisce standard per promuovere un comportamento etico, i diritti umani, i diritti sociali e pratiche ambientali in tutta la catena di fornitura di gioielli con diamanti, oro, argento  gruppi di metalli del platino e alcune pietre preziose (zaffiri, smeraldi e rubini) .</w:t>
      </w:r>
    </w:p>
    <w:p>
      <w:pPr>
        <w:pStyle w:val="Normal"/>
        <w:jc w:val="both"/>
        <w:rPr/>
      </w:pPr>
      <w:r>
        <w:rPr/>
        <w:t>RJC ha sviluppato uno standard di riferimento per la catena di fornitura di gioielli e meccanismi credibili per la verifica delle pratiche commerciali responsabili attraverso audit di terza parte.</w:t>
      </w:r>
    </w:p>
    <w:p>
      <w:pPr>
        <w:pStyle w:val="Normal"/>
        <w:jc w:val="both"/>
        <w:rPr/>
      </w:pPr>
      <w:r>
        <w:rPr/>
        <w:t>In qualità di  Membri Certificati RJC,  Nuovi Gioielli srl si impegna a gestire la propria  attività in conformità al codice di procedura RJC. Si impegna, inoltre, ad integrare considerazioni etiche, in materia di diritti umani, sociali e ambientali nelle operazioni quotidiane, nelle attività di pianificazione aziendale e nei processi decisionali.</w:t>
      </w:r>
    </w:p>
    <w:p>
      <w:pPr>
        <w:pStyle w:val="Normal"/>
        <w:jc w:val="both"/>
        <w:rPr/>
      </w:pPr>
      <w:r>
        <w:rPr/>
        <w:t xml:space="preserve">Nel Bilancio di Sostenibilità che l’azienda emette ogni anno sono definite le performance aziendali in merito a obiettivi specifici che di anno in anno l’azienda si pone. </w:t>
      </w:r>
    </w:p>
    <w:p>
      <w:pPr>
        <w:pStyle w:val="Normal"/>
        <w:jc w:val="both"/>
        <w:rPr/>
      </w:pPr>
      <w:r>
        <w:rPr/>
        <w:t xml:space="preserve">In particolare, tali principi si possono generalmente così riassumere: 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 xml:space="preserve">Rispetto di buone pratiche commerciali (assenza di corruzione) 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Assenza di lavoro minorile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Assenza di lavoro forzato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 xml:space="preserve">Rispetto dei requisiti di salute e sicurezza 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Libertà di associazione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Assenza di discriminazione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Corretta gestione di pratiche disciplinari in ottemperanza a requisiti cogenti e di corretta gestione dei lavoratori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Corretta e dignitosa retribuzione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 xml:space="preserve">Orario di lavoro coerente con i requisiti dettati dal CCNL applicabile 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Rispetto dell’ambiente e promozione della riduzione dei consumi e delle buone prassi nella gestione dei rifiuti e delle risorse non riproducibili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Condanna e rifiuto di qualsiasi attività legata ai crimini di guerra, violazioni del diritto internazionale  umanitario, crimini contro l’umanità o genocidi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Impegno a non dare alcun supporto diretto o indiretto a gruppi armati, a combattere la corruzione o le cattive pratiche della filiera dell’oro, argento  e dei diamanti e pietre preziose e gli abusi associati all’estrazione , trasporto e commercio di essi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>Impegno a non offrire, promettere o richiedere tangenti e opposizione alla sollecitazione di tangenti, richiesta di occultare , dissimulare l’origine dell’oro o dichiarare il falso in materia di tasse,imposte, tariffe e royalty pagate ai governi a scopo di estrazione, commercio, movimentazione , trasporto ed esportazione di oro</w:t>
      </w:r>
    </w:p>
    <w:p>
      <w:pPr>
        <w:pStyle w:val="ListParagraph"/>
        <w:numPr>
          <w:ilvl w:val="0"/>
          <w:numId w:val="1"/>
        </w:numPr>
        <w:ind w:left="644" w:hanging="360"/>
        <w:jc w:val="both"/>
        <w:rPr>
          <w:b/>
          <w:b/>
        </w:rPr>
      </w:pPr>
      <w:r>
        <w:rPr>
          <w:b/>
        </w:rPr>
        <w:t xml:space="preserve">Impegno affinchè tutte le attività di vigilanza privata e le misure di sicurezza a difesa del patrimonio siano conformi alle leggi nazionali nel rispetto della dignità del lavoratore . </w:t>
      </w:r>
    </w:p>
    <w:p>
      <w:pPr>
        <w:pStyle w:val="Normal"/>
        <w:rPr/>
      </w:pPr>
      <w:r>
        <w:rPr/>
        <w:t xml:space="preserve">Nel rispetto di tali requisiti, l’azienda dichiara di ottemperare alle seguenti normative e Convenzioni: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Allo standard volontario RJC CoP- 2019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Allo Standard volontario RJC – Coc 2017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Alle Convenzioni dell’Organizzazione Internazionale del Lavoro (ILO)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Alla Convenzione delle Nazioni Unite sui diritti del bambino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Alla Dichiarazione Universale dei Diritti Umani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Alla Convenzione delle Nazioni Unite sull’eliminazione di tutte le forme di discriminazione contro le donne e di tutte le forme di discriminazione razziale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Al Patto Internazionale sui diritti civili e Politici e sui diritti economici, sociali e culturali.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 tutte le leggi nazionali ed internazionali in materia, ivi inclusi il D.Lgs. 81/2008 e successive modificazioni, relativo alla salute e sicurezza nei luoghi di lavoro ed il Regolamento Europeo 679/2016 relativo alla riservatezza e trattamento dei dati personali  e al D. Lgs 152/2006  in materia  ambientale e successive modificazioni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Alle prescrizioni del D.Lgs. 231/2001 in materia di responsabilità amministrativa d’impresa.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Alla linea Guida OCSE sulla due diligence per filiere responsabili di minerali provenienti da aree di conflitto  e ad alto rischio.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rPr/>
      </w:pPr>
      <w:r>
        <w:rPr/>
        <w:t xml:space="preserve">Direzione Generale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18415</wp:posOffset>
            </wp:positionV>
            <wp:extent cx="2637155" cy="110744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</w:t>
      </w:r>
      <w:r>
        <w:rPr/>
        <w:tab/>
        <w:tab/>
        <w:t>Mussolente , 26/04/2021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ndara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5814" w:leader="none"/>
      </w:tabs>
      <w:ind w:right="-427" w:hanging="0"/>
      <w:jc w:val="center"/>
      <w:rPr>
        <w:rFonts w:ascii="Candara" w:hAnsi="Candara" w:eastAsia="FangSong" w:cs="Candara"/>
        <w:sz w:val="20"/>
        <w:szCs w:val="20"/>
      </w:rPr>
    </w:pPr>
    <w:r>
      <w:rPr/>
      <w:t xml:space="preserve">  </w:t>
    </w:r>
    <w:r>
      <w:rPr>
        <w:sz w:val="20"/>
        <w:szCs w:val="20"/>
      </w:rPr>
      <w:t xml:space="preserve">Nuovi Gioielli srl - </w:t>
    </w:r>
    <w:r>
      <w:rPr>
        <w:rFonts w:eastAsia="FangSong" w:cs="Candara" w:ascii="Candara" w:hAnsi="Candara"/>
        <w:sz w:val="20"/>
        <w:szCs w:val="20"/>
      </w:rPr>
      <w:t>Via Alessandro Volta n.1 - 36065 Mussolente (VI) Italy</w:t>
    </w:r>
  </w:p>
  <w:p>
    <w:pPr>
      <w:pStyle w:val="Intestazione"/>
      <w:rPr/>
    </w:pPr>
    <w:r>
      <w:rPr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a3043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CollegamentoInternet">
    <w:name w:val="Collegamento Internet"/>
    <w:basedOn w:val="DefaultParagraphFont"/>
    <w:uiPriority w:val="99"/>
    <w:unhideWhenUsed/>
    <w:rsid w:val="00614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315c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005a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005a3"/>
    <w:rPr/>
  </w:style>
  <w:style w:type="character" w:styleId="ListLabel1">
    <w:name w:val="ListLabel 1"/>
    <w:qFormat/>
    <w:rPr>
      <w:rFonts w:eastAsia="Calibri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"/>
      <w:b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"/>
      <w:b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e2561"/>
    <w:pPr>
      <w:spacing w:before="0" w:after="20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uiPriority w:val="10"/>
    <w:qFormat/>
    <w:rsid w:val="00a3043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Intestazione">
    <w:name w:val="Header"/>
    <w:basedOn w:val="Normal"/>
    <w:link w:val="IntestazioneCarattere"/>
    <w:uiPriority w:val="99"/>
    <w:unhideWhenUsed/>
    <w:rsid w:val="006005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005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2</Pages>
  <Words>664</Words>
  <Characters>3746</Characters>
  <CharactersWithSpaces>4407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2021-04-26T08:06:00Z</dcterms:created>
  <dc:creator>Asus</dc:creator>
  <dc:description/>
  <dc:language>it-IT</dc:language>
  <cp:lastModifiedBy/>
  <dcterms:modified xsi:type="dcterms:W3CDTF">2021-06-28T10:56:43Z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